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B445CE" w:rsidRPr="00DE4DCC" w:rsidP="00450E2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445CE" w:rsidRPr="00DE4DCC" w:rsidP="003864AE">
      <w:pPr>
        <w:tabs>
          <w:tab w:val="left" w:pos="3627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445CE" w:rsidRPr="00DE4DCC" w:rsidP="00DE4DC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445CE" w:rsidRPr="00DE4DCC" w:rsidP="004541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D19AC" w:rsidP="00DE4DC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Financial Markets </w:t>
      </w:r>
    </w:p>
    <w:p w:rsidR="00B445CE" w:rsidRPr="00DE4DCC" w:rsidP="00EE74DA">
      <w:pPr>
        <w:tabs>
          <w:tab w:val="left" w:pos="3510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ab/>
      </w:r>
      <w:r w:rsidR="00450E2F">
        <w:rPr>
          <w:rFonts w:ascii="Times New Roman" w:hAnsi="Times New Roman" w:cs="Times New Roman"/>
          <w:sz w:val="24"/>
          <w:szCs w:val="24"/>
        </w:rPr>
        <w:t xml:space="preserve">Student’s </w:t>
      </w:r>
      <w:r>
        <w:rPr>
          <w:rFonts w:ascii="Times New Roman" w:hAnsi="Times New Roman" w:cs="Times New Roman"/>
          <w:sz w:val="24"/>
          <w:szCs w:val="24"/>
        </w:rPr>
        <w:t>Name</w:t>
      </w:r>
    </w:p>
    <w:p w:rsidR="00B445CE" w:rsidRPr="00DE4DCC" w:rsidP="00DE4DC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4DCC">
        <w:rPr>
          <w:rFonts w:ascii="Times New Roman" w:hAnsi="Times New Roman" w:cs="Times New Roman"/>
          <w:sz w:val="24"/>
          <w:szCs w:val="24"/>
        </w:rPr>
        <w:t>Institution</w:t>
      </w:r>
      <w:r w:rsidR="00450E2F">
        <w:rPr>
          <w:rFonts w:ascii="Times New Roman" w:hAnsi="Times New Roman" w:cs="Times New Roman"/>
          <w:sz w:val="24"/>
          <w:szCs w:val="24"/>
        </w:rPr>
        <w:t xml:space="preserve"> Affiliation</w:t>
      </w:r>
    </w:p>
    <w:p w:rsidR="00D36254" w:rsidP="00D362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6254" w:rsidP="00D362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6254" w:rsidP="00D362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6254" w:rsidP="00D362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6254" w:rsidP="00D362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6254" w:rsidP="00D362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B3DB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D36254" w:rsidRPr="004A3BCD" w:rsidP="004A3BCD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3BCD">
        <w:rPr>
          <w:rFonts w:ascii="Times New Roman" w:hAnsi="Times New Roman" w:cs="Times New Roman"/>
          <w:b/>
          <w:sz w:val="24"/>
          <w:szCs w:val="24"/>
        </w:rPr>
        <w:t>Financial Markets</w:t>
      </w:r>
    </w:p>
    <w:p w:rsidR="009A2328" w:rsidRPr="00EE74DA" w:rsidP="00EE74D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EE74DA">
        <w:rPr>
          <w:rFonts w:ascii="Times New Roman" w:hAnsi="Times New Roman" w:cs="Times New Roman"/>
          <w:sz w:val="24"/>
          <w:szCs w:val="24"/>
        </w:rPr>
        <w:t xml:space="preserve">A market in the finance sector describes a platform used to raise finances for businesses. Primary and secondary are examples of such markets. Primary markets describe where financial securities are created. On the other hand, secondary </w:t>
      </w:r>
      <w:r w:rsidRPr="00EE74DA" w:rsidR="000A4814">
        <w:rPr>
          <w:rFonts w:ascii="Times New Roman" w:hAnsi="Times New Roman" w:cs="Times New Roman"/>
          <w:sz w:val="24"/>
          <w:szCs w:val="24"/>
        </w:rPr>
        <w:t>markets refer</w:t>
      </w:r>
      <w:r w:rsidRPr="00EE74DA">
        <w:rPr>
          <w:rFonts w:ascii="Times New Roman" w:hAnsi="Times New Roman" w:cs="Times New Roman"/>
          <w:sz w:val="24"/>
          <w:szCs w:val="24"/>
        </w:rPr>
        <w:t xml:space="preserve"> to platforms where </w:t>
      </w:r>
      <w:r w:rsidRPr="00EE74DA" w:rsidR="000A4814">
        <w:rPr>
          <w:rFonts w:ascii="Times New Roman" w:hAnsi="Times New Roman" w:cs="Times New Roman"/>
          <w:sz w:val="24"/>
          <w:szCs w:val="24"/>
        </w:rPr>
        <w:t xml:space="preserve">securities are traded. Companies use primary markets to sell new securities for the first time. Companies sell initial bonds and stocks </w:t>
      </w:r>
      <w:r w:rsidRPr="00EE74DA" w:rsidR="000A4814">
        <w:rPr>
          <w:rFonts w:ascii="Times New Roman" w:hAnsi="Times New Roman" w:cs="Times New Roman"/>
          <w:sz w:val="24"/>
          <w:szCs w:val="24"/>
        </w:rPr>
        <w:t>in the primary market</w:t>
      </w:r>
      <w:r w:rsidRPr="00EE74DA" w:rsidR="000A4814">
        <w:rPr>
          <w:rFonts w:ascii="Times New Roman" w:hAnsi="Times New Roman" w:cs="Times New Roman"/>
          <w:sz w:val="24"/>
          <w:szCs w:val="24"/>
        </w:rPr>
        <w:t xml:space="preserve"> </w:t>
      </w:r>
      <w:r w:rsidRPr="00EE74DA" w:rsidR="00DE1013">
        <w:rPr>
          <w:rFonts w:ascii="Times New Roman" w:hAnsi="Times New Roman" w:cs="Times New Roman"/>
          <w:sz w:val="24"/>
          <w:szCs w:val="24"/>
        </w:rPr>
        <w:t xml:space="preserve">if it is their first time, such as </w:t>
      </w:r>
      <w:r w:rsidRPr="00EE74DA" w:rsidR="000A4814">
        <w:rPr>
          <w:rFonts w:ascii="Times New Roman" w:hAnsi="Times New Roman" w:cs="Times New Roman"/>
          <w:sz w:val="24"/>
          <w:szCs w:val="24"/>
        </w:rPr>
        <w:t>with an Initial Public Offering (IPO). Contrary, secondary markets are essentially stock markets and refer to stock exchange markets such as the New York Stock Exchange.</w:t>
      </w:r>
      <w:r w:rsidRPr="00EE74DA" w:rsidR="00186AD1">
        <w:rPr>
          <w:rFonts w:ascii="Times New Roman" w:hAnsi="Times New Roman" w:cs="Times New Roman"/>
          <w:sz w:val="24"/>
          <w:szCs w:val="24"/>
        </w:rPr>
        <w:t xml:space="preserve"> Stock prices affect the correspondent investments decision, which in turn has a significant impact on the performance of a business</w:t>
      </w:r>
      <w:r w:rsidRPr="00EE74DA" w:rsidR="004A3BCD">
        <w:rPr>
          <w:rFonts w:ascii="Times New Roman" w:hAnsi="Times New Roman" w:cs="Times New Roman"/>
          <w:sz w:val="24"/>
          <w:szCs w:val="24"/>
        </w:rPr>
        <w:t xml:space="preserve"> (</w:t>
      </w:r>
      <w:r w:rsidRPr="00EE74DA" w:rsidR="004A3B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Boyarchenko</w:t>
      </w:r>
      <w:r w:rsidRPr="00EE74DA" w:rsidR="004A3B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2020)</w:t>
      </w:r>
      <w:r w:rsidRPr="00EE74DA" w:rsidR="00186AD1">
        <w:rPr>
          <w:rFonts w:ascii="Times New Roman" w:hAnsi="Times New Roman" w:cs="Times New Roman"/>
          <w:sz w:val="24"/>
          <w:szCs w:val="24"/>
        </w:rPr>
        <w:t>. For instance, when stock prices decline significantly in the stock exchange markets, investors are less motivated to invest in the business; thus, the company security sales and proceeds decline too.</w:t>
      </w:r>
      <w:r w:rsidRPr="00EE74DA" w:rsidR="00DE1013">
        <w:rPr>
          <w:rFonts w:ascii="Times New Roman" w:hAnsi="Times New Roman" w:cs="Times New Roman"/>
          <w:sz w:val="24"/>
          <w:szCs w:val="24"/>
        </w:rPr>
        <w:t xml:space="preserve"> However, on classmate's level, it would be crucial to indicate that primary markets issue stocks at a coupon rate.</w:t>
      </w:r>
      <w:r w:rsidRPr="00EE74DA" w:rsidR="004A3BCD">
        <w:rPr>
          <w:rFonts w:ascii="Times New Roman" w:hAnsi="Times New Roman" w:cs="Times New Roman"/>
          <w:sz w:val="24"/>
          <w:szCs w:val="24"/>
        </w:rPr>
        <w:t xml:space="preserve"> Additionally, secondary markets offer a platform for investors to both buy and sell stocks </w:t>
      </w:r>
      <w:r w:rsidRPr="00EE74DA" w:rsidR="004A3BCD">
        <w:rPr>
          <w:rFonts w:ascii="Times New Roman" w:hAnsi="Times New Roman" w:cs="Times New Roman"/>
          <w:sz w:val="24"/>
          <w:szCs w:val="24"/>
        </w:rPr>
        <w:t>(</w:t>
      </w:r>
      <w:r w:rsidRPr="00EE74DA" w:rsidR="004A3B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Boyarchenko et al., 2020)</w:t>
      </w:r>
      <w:r w:rsidRPr="00EE74DA" w:rsidR="004A3BCD">
        <w:rPr>
          <w:rFonts w:ascii="Times New Roman" w:hAnsi="Times New Roman" w:cs="Times New Roman"/>
          <w:sz w:val="24"/>
          <w:szCs w:val="24"/>
        </w:rPr>
        <w:t>. Therefore, both primary and secondary markets are used to offer company stocks and bonds to the public</w:t>
      </w:r>
    </w:p>
    <w:p w:rsidR="00D36254" w:rsidP="00D362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541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B445CE" w:rsidP="00D362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</w:t>
      </w:r>
    </w:p>
    <w:p w:rsidR="004A3BCD" w:rsidRPr="00DE4DCC" w:rsidP="00EE74DA">
      <w:pPr>
        <w:spacing w:after="0" w:line="480" w:lineRule="auto"/>
        <w:ind w:left="720" w:hanging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B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oyarchenko, N., Crump, R. K., 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Kovner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, A., 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Shachar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 O., &amp; Van Tassel, P. (2020).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The Primary and Secondary Market Corporate Credit Facilities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 (No. 20200526a). 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Federal Reserve Bank of New York.</w:t>
      </w:r>
    </w:p>
    <w:sectPr w:rsidSect="00B445CE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45CE" w:rsidRPr="003864AE" w:rsidP="003864AE">
    <w:pPr>
      <w:pStyle w:val="Header"/>
      <w:spacing w:line="480" w:lineRule="auto"/>
      <w:rPr>
        <w:rFonts w:ascii="Times New Roman" w:hAnsi="Times New Roman" w:cs="Times New Roman"/>
      </w:rPr>
    </w:pPr>
    <w:r>
      <w:rPr>
        <w:rFonts w:ascii="Times New Roman" w:hAnsi="Times New Roman" w:cs="Times New Roman"/>
        <w:sz w:val="24"/>
        <w:szCs w:val="24"/>
      </w:rPr>
      <w:t>FINANCIAL MARKETS</w:t>
    </w:r>
    <w:r w:rsidRPr="003864AE" w:rsidR="00DE4DCC">
      <w:rPr>
        <w:rStyle w:val="PageNumber"/>
        <w:rFonts w:ascii="Times New Roman" w:hAnsi="Times New Roman" w:cs="Times New Roman"/>
      </w:rPr>
      <w:tab/>
    </w:r>
    <w:r w:rsidRPr="003864AE" w:rsidR="00DE4DCC">
      <w:rPr>
        <w:rStyle w:val="PageNumber"/>
        <w:rFonts w:ascii="Times New Roman" w:hAnsi="Times New Roman" w:cs="Times New Roman"/>
      </w:rPr>
      <w:tab/>
    </w:r>
    <w:r w:rsidRPr="003864AE" w:rsidR="009B2698">
      <w:rPr>
        <w:rStyle w:val="PageNumber"/>
        <w:rFonts w:ascii="Times New Roman" w:hAnsi="Times New Roman" w:cs="Times New Roman"/>
      </w:rPr>
      <w:fldChar w:fldCharType="begin"/>
    </w:r>
    <w:r w:rsidRPr="003864AE">
      <w:rPr>
        <w:rStyle w:val="PageNumber"/>
        <w:rFonts w:ascii="Times New Roman" w:hAnsi="Times New Roman" w:cs="Times New Roman"/>
      </w:rPr>
      <w:instrText xml:space="preserve"> PAGE </w:instrText>
    </w:r>
    <w:r w:rsidRPr="003864AE" w:rsidR="009B2698">
      <w:rPr>
        <w:rStyle w:val="PageNumber"/>
        <w:rFonts w:ascii="Times New Roman" w:hAnsi="Times New Roman" w:cs="Times New Roman"/>
      </w:rPr>
      <w:fldChar w:fldCharType="separate"/>
    </w:r>
    <w:r w:rsidR="00EE74DA">
      <w:rPr>
        <w:rStyle w:val="PageNumber"/>
        <w:rFonts w:ascii="Times New Roman" w:hAnsi="Times New Roman" w:cs="Times New Roman"/>
        <w:noProof/>
      </w:rPr>
      <w:t>2</w:t>
    </w:r>
    <w:r w:rsidRPr="003864AE" w:rsidR="009B2698">
      <w:rPr>
        <w:rStyle w:val="PageNumber"/>
        <w:rFonts w:ascii="Times New Roman" w:hAnsi="Times New Roman" w:cs="Times New Roman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445CE" w:rsidRPr="00174FEB" w:rsidP="00174FEB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</w:rPr>
      <w:t>Running h</w:t>
    </w:r>
    <w:r w:rsidRPr="003864AE">
      <w:rPr>
        <w:rFonts w:ascii="Times New Roman" w:hAnsi="Times New Roman" w:cs="Times New Roman"/>
      </w:rPr>
      <w:t xml:space="preserve">ead: </w:t>
    </w:r>
    <w:r w:rsidR="006D19AC">
      <w:rPr>
        <w:rFonts w:ascii="Times New Roman" w:hAnsi="Times New Roman" w:cs="Times New Roman"/>
        <w:sz w:val="24"/>
        <w:szCs w:val="24"/>
      </w:rPr>
      <w:t>FINANCIAL MARKETS</w:t>
    </w:r>
    <w:r w:rsidR="00174FEB">
      <w:rPr>
        <w:rFonts w:ascii="Times New Roman" w:hAnsi="Times New Roman" w:cs="Times New Roman"/>
        <w:sz w:val="24"/>
        <w:szCs w:val="24"/>
      </w:rPr>
      <w:tab/>
    </w:r>
    <w:r w:rsidR="00FE1EFB">
      <w:rPr>
        <w:rFonts w:ascii="Times New Roman" w:hAnsi="Times New Roman" w:cs="Times New Roman"/>
        <w:sz w:val="24"/>
        <w:szCs w:val="24"/>
      </w:rPr>
      <w:tab/>
    </w:r>
    <w:r w:rsidRPr="003864AE" w:rsidR="00DE4DCC">
      <w:rPr>
        <w:rFonts w:ascii="Times New Roman" w:hAnsi="Times New Roman" w:cs="Times New Roman"/>
        <w:bCs/>
        <w:sz w:val="24"/>
        <w:szCs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4C1"/>
    <w:rsid w:val="000A4814"/>
    <w:rsid w:val="00154F93"/>
    <w:rsid w:val="00174FEB"/>
    <w:rsid w:val="00186AD1"/>
    <w:rsid w:val="003864AE"/>
    <w:rsid w:val="003F00A9"/>
    <w:rsid w:val="004074C1"/>
    <w:rsid w:val="00450E2F"/>
    <w:rsid w:val="00454134"/>
    <w:rsid w:val="00464C21"/>
    <w:rsid w:val="004A3BCD"/>
    <w:rsid w:val="004B3DB8"/>
    <w:rsid w:val="0050004C"/>
    <w:rsid w:val="005A6341"/>
    <w:rsid w:val="0064348D"/>
    <w:rsid w:val="00673EB7"/>
    <w:rsid w:val="006D19AC"/>
    <w:rsid w:val="007D14E5"/>
    <w:rsid w:val="007F52A5"/>
    <w:rsid w:val="00847E3E"/>
    <w:rsid w:val="008A1A2D"/>
    <w:rsid w:val="008B235E"/>
    <w:rsid w:val="008D233F"/>
    <w:rsid w:val="009A2328"/>
    <w:rsid w:val="009B2698"/>
    <w:rsid w:val="00A170E2"/>
    <w:rsid w:val="00A27D28"/>
    <w:rsid w:val="00AD4D15"/>
    <w:rsid w:val="00B445CE"/>
    <w:rsid w:val="00B5067C"/>
    <w:rsid w:val="00BF174A"/>
    <w:rsid w:val="00C02624"/>
    <w:rsid w:val="00C223C3"/>
    <w:rsid w:val="00CF06F5"/>
    <w:rsid w:val="00D13C2A"/>
    <w:rsid w:val="00D36254"/>
    <w:rsid w:val="00DE1013"/>
    <w:rsid w:val="00DE4DCC"/>
    <w:rsid w:val="00E35529"/>
    <w:rsid w:val="00EA607F"/>
    <w:rsid w:val="00EE39F6"/>
    <w:rsid w:val="00EE74DA"/>
    <w:rsid w:val="00F05BF2"/>
    <w:rsid w:val="00F139C8"/>
    <w:rsid w:val="00F46F7C"/>
    <w:rsid w:val="00F50E91"/>
    <w:rsid w:val="00FE1EFB"/>
  </w:rsids>
  <m:mathPr>
    <m:mathFont m:val="Cambria Math"/>
    <m:smallFrac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45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45CE"/>
  </w:style>
  <w:style w:type="paragraph" w:styleId="Footer">
    <w:name w:val="footer"/>
    <w:basedOn w:val="Normal"/>
    <w:link w:val="FooterChar"/>
    <w:uiPriority w:val="99"/>
    <w:unhideWhenUsed/>
    <w:rsid w:val="00B445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45CE"/>
  </w:style>
  <w:style w:type="character" w:styleId="PageNumber">
    <w:name w:val="page number"/>
    <w:basedOn w:val="DefaultParagraphFont"/>
    <w:uiPriority w:val="99"/>
    <w:semiHidden/>
    <w:unhideWhenUsed/>
    <w:rsid w:val="00B445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2020-10-08T18:37:00Z</dcterms:created>
  <dcterms:modified xsi:type="dcterms:W3CDTF">2020-10-08T19:26:00Z</dcterms:modified>
</cp:coreProperties>
</file>